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D0C" w14:textId="6934D94A" w:rsidR="00E66D9D" w:rsidRPr="00597523" w:rsidRDefault="00E66D9D" w:rsidP="00E66D9D">
      <w:pPr>
        <w:pStyle w:val="CRCoverPage"/>
        <w:tabs>
          <w:tab w:val="right" w:pos="9639"/>
        </w:tabs>
        <w:spacing w:after="0"/>
        <w:rPr>
          <w:b/>
          <w:i/>
          <w:noProof/>
          <w:sz w:val="28"/>
          <w:lang w:val="de-DE"/>
        </w:rPr>
      </w:pPr>
      <w:r w:rsidRPr="00FD29BB">
        <w:rPr>
          <w:b/>
          <w:noProof/>
          <w:sz w:val="24"/>
          <w:lang w:val="de-DE"/>
        </w:rPr>
        <w:t>3GPP TSG</w:t>
      </w:r>
      <w:r w:rsidR="006A12FF" w:rsidRPr="00FD29BB">
        <w:rPr>
          <w:b/>
          <w:noProof/>
          <w:sz w:val="24"/>
          <w:lang w:val="de-DE"/>
        </w:rPr>
        <w:t xml:space="preserve"> </w:t>
      </w:r>
      <w:r w:rsidR="00DA35C4" w:rsidRPr="00FD29BB">
        <w:rPr>
          <w:b/>
          <w:noProof/>
          <w:sz w:val="24"/>
          <w:lang w:val="de-DE"/>
        </w:rPr>
        <w:t>RAN</w:t>
      </w:r>
      <w:r w:rsidRPr="00FD29BB">
        <w:rPr>
          <w:b/>
          <w:noProof/>
          <w:sz w:val="24"/>
          <w:lang w:val="de-DE"/>
        </w:rPr>
        <w:t xml:space="preserve"> WG</w:t>
      </w:r>
      <w:r w:rsidR="00DA35C4" w:rsidRPr="00FD29BB">
        <w:rPr>
          <w:b/>
          <w:noProof/>
          <w:sz w:val="24"/>
          <w:lang w:val="de-DE"/>
        </w:rPr>
        <w:t>3</w:t>
      </w:r>
      <w:r w:rsidRPr="00FD29BB">
        <w:rPr>
          <w:b/>
          <w:noProof/>
          <w:sz w:val="24"/>
          <w:lang w:val="de-DE"/>
        </w:rPr>
        <w:t>#1</w:t>
      </w:r>
      <w:r w:rsidR="00DA35C4" w:rsidRPr="00FD29BB">
        <w:rPr>
          <w:b/>
          <w:noProof/>
          <w:sz w:val="24"/>
          <w:lang w:val="de-DE"/>
        </w:rPr>
        <w:t>1</w:t>
      </w:r>
      <w:r w:rsidRPr="00FD29BB">
        <w:rPr>
          <w:b/>
          <w:noProof/>
          <w:sz w:val="24"/>
          <w:lang w:val="de-DE"/>
        </w:rPr>
        <w:t>7</w:t>
      </w:r>
      <w:r>
        <w:rPr>
          <w:b/>
          <w:noProof/>
          <w:sz w:val="24"/>
          <w:lang w:val="hr-HR"/>
        </w:rPr>
        <w:t>-</w:t>
      </w:r>
      <w:r w:rsidR="00DA35C4">
        <w:rPr>
          <w:b/>
          <w:noProof/>
          <w:sz w:val="24"/>
          <w:lang w:val="hr-HR"/>
        </w:rPr>
        <w:t>bis-</w:t>
      </w:r>
      <w:r w:rsidRPr="00FD29BB">
        <w:rPr>
          <w:b/>
          <w:noProof/>
          <w:sz w:val="24"/>
          <w:lang w:val="de-DE"/>
        </w:rPr>
        <w:t>e</w:t>
      </w:r>
      <w:r w:rsidRPr="00FD29BB">
        <w:rPr>
          <w:b/>
          <w:i/>
          <w:noProof/>
          <w:sz w:val="28"/>
          <w:lang w:val="de-DE"/>
        </w:rPr>
        <w:tab/>
      </w:r>
      <w:r w:rsidR="00597523" w:rsidRPr="00597523">
        <w:rPr>
          <w:b/>
          <w:noProof/>
          <w:sz w:val="24"/>
          <w:lang w:val="de-DE"/>
        </w:rPr>
        <w:t>R3-226009</w:t>
      </w:r>
    </w:p>
    <w:p w14:paraId="4512D2BA" w14:textId="240CDD5E" w:rsidR="00E66D9D" w:rsidRDefault="00E66D9D" w:rsidP="00E66D9D">
      <w:pPr>
        <w:pStyle w:val="CRCoverPage"/>
        <w:outlineLvl w:val="0"/>
        <w:rPr>
          <w:b/>
          <w:noProof/>
          <w:sz w:val="24"/>
        </w:rPr>
      </w:pPr>
      <w:r>
        <w:rPr>
          <w:b/>
          <w:noProof/>
          <w:sz w:val="24"/>
        </w:rPr>
        <w:t>E-Meeting, 1</w:t>
      </w:r>
      <w:r w:rsidR="00DA35C4">
        <w:rPr>
          <w:b/>
          <w:noProof/>
          <w:sz w:val="24"/>
        </w:rPr>
        <w:t>0</w:t>
      </w:r>
      <w:r>
        <w:rPr>
          <w:b/>
          <w:noProof/>
          <w:sz w:val="24"/>
          <w:vertAlign w:val="superscript"/>
        </w:rPr>
        <w:t>th</w:t>
      </w:r>
      <w:r>
        <w:rPr>
          <w:b/>
          <w:noProof/>
          <w:sz w:val="24"/>
        </w:rPr>
        <w:t xml:space="preserve"> – </w:t>
      </w:r>
      <w:r w:rsidR="00DA35C4">
        <w:rPr>
          <w:b/>
          <w:noProof/>
          <w:sz w:val="24"/>
        </w:rPr>
        <w:t>18</w:t>
      </w:r>
      <w:r>
        <w:rPr>
          <w:b/>
          <w:noProof/>
          <w:sz w:val="24"/>
          <w:vertAlign w:val="superscript"/>
        </w:rPr>
        <w:t>th</w:t>
      </w:r>
      <w:r>
        <w:rPr>
          <w:b/>
          <w:noProof/>
          <w:sz w:val="24"/>
        </w:rPr>
        <w:t xml:space="preserve"> </w:t>
      </w:r>
      <w:r w:rsidR="00DA35C4">
        <w:rPr>
          <w:b/>
          <w:noProof/>
          <w:sz w:val="24"/>
        </w:rPr>
        <w:t>October</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CCA3B1B" w:rsidR="00463675" w:rsidRPr="00104AF8" w:rsidRDefault="00463675" w:rsidP="000F4E43">
      <w:pPr>
        <w:pStyle w:val="Title"/>
      </w:pPr>
      <w:r w:rsidRPr="000F4E43">
        <w:t>Title:</w:t>
      </w:r>
      <w:r w:rsidRPr="00104AF8">
        <w:tab/>
      </w:r>
      <w:r w:rsidR="00FD29BB">
        <w:t xml:space="preserve">[DRAFT] </w:t>
      </w:r>
      <w:r w:rsidR="00104AF8" w:rsidRPr="00104AF8">
        <w:t xml:space="preserve">Reply LS on </w:t>
      </w:r>
      <w:r w:rsidR="00DA35C4">
        <w:rPr>
          <w:color w:val="0D0D0D"/>
        </w:rPr>
        <w:t>FS_VMR solutions review</w:t>
      </w:r>
    </w:p>
    <w:p w14:paraId="65004854" w14:textId="24FDDB82"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 xml:space="preserve">R3-225317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DA35C4" w:rsidRPr="007626BF">
        <w:rPr>
          <w:b w:val="0"/>
          <w:bCs w:val="0"/>
        </w:rPr>
        <w:t>07070</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proofErr w:type="spellStart"/>
      <w:r w:rsidR="00DA35C4" w:rsidRPr="007626BF">
        <w:rPr>
          <w:b w:val="0"/>
          <w:bCs w:val="0"/>
          <w:lang w:val="en-US"/>
        </w:rPr>
        <w:t>mobile_IAB</w:t>
      </w:r>
      <w:proofErr w:type="spellEnd"/>
    </w:p>
    <w:p w14:paraId="0A1390C0" w14:textId="77777777" w:rsidR="00463675" w:rsidRPr="00104AF8" w:rsidRDefault="00463675">
      <w:pPr>
        <w:spacing w:after="60"/>
        <w:ind w:left="1985" w:hanging="1985"/>
        <w:rPr>
          <w:rFonts w:ascii="Arial" w:hAnsi="Arial" w:cs="Arial"/>
          <w:b/>
        </w:rPr>
      </w:pPr>
    </w:p>
    <w:p w14:paraId="2BA4C3D5" w14:textId="403D5AE3" w:rsidR="00463675" w:rsidRPr="007626BF" w:rsidRDefault="00463675" w:rsidP="000F4E43">
      <w:pPr>
        <w:pStyle w:val="Source"/>
        <w:rPr>
          <w:b w:val="0"/>
          <w:bCs/>
        </w:rPr>
      </w:pPr>
      <w:r w:rsidRPr="00104AF8">
        <w:t>Source:</w:t>
      </w:r>
      <w:r w:rsidRPr="00104AF8">
        <w:tab/>
      </w:r>
      <w:r w:rsidR="00FD29BB" w:rsidRPr="007626BF">
        <w:rPr>
          <w:b w:val="0"/>
          <w:bCs/>
        </w:rPr>
        <w:t xml:space="preserve">Qualcomm [to be: </w:t>
      </w:r>
      <w:r w:rsidR="00DA35C4" w:rsidRPr="007626BF">
        <w:rPr>
          <w:b w:val="0"/>
          <w:bCs/>
        </w:rPr>
        <w:t>RAN3</w:t>
      </w:r>
      <w:r w:rsidR="00FD29BB" w:rsidRPr="007626BF">
        <w:rPr>
          <w:b w:val="0"/>
          <w:bCs/>
        </w:rPr>
        <w:t>]</w:t>
      </w:r>
    </w:p>
    <w:p w14:paraId="6AF9910D" w14:textId="62FF2F68"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0787F6B" w14:textId="371D9902" w:rsidR="00BE6F08" w:rsidRPr="00022BBF" w:rsidRDefault="00DA35C4">
      <w:pPr>
        <w:rPr>
          <w:rFonts w:ascii="Arial" w:hAnsi="Arial" w:cs="Arial"/>
        </w:rPr>
      </w:pPr>
      <w:r>
        <w:rPr>
          <w:rFonts w:ascii="Arial" w:hAnsi="Arial" w:cs="Arial"/>
        </w:rPr>
        <w:t>RAN3</w:t>
      </w:r>
      <w:r w:rsidR="00BE6F08" w:rsidRPr="00022BBF">
        <w:rPr>
          <w:rFonts w:ascii="Arial" w:hAnsi="Arial" w:cs="Arial"/>
        </w:rPr>
        <w:t xml:space="preserve"> thanks </w:t>
      </w:r>
      <w:r>
        <w:rPr>
          <w:rFonts w:ascii="Arial" w:hAnsi="Arial" w:cs="Arial"/>
        </w:rPr>
        <w:t xml:space="preserve">SA2 </w:t>
      </w:r>
      <w:r w:rsidR="00BE6F08" w:rsidRPr="00022BBF">
        <w:rPr>
          <w:rFonts w:ascii="Arial" w:hAnsi="Arial" w:cs="Arial"/>
        </w:rPr>
        <w:t>for the</w:t>
      </w:r>
      <w:r w:rsidR="004F0F83">
        <w:rPr>
          <w:rFonts w:ascii="Arial" w:hAnsi="Arial" w:cs="Arial"/>
        </w:rPr>
        <w:t>ir</w:t>
      </w:r>
      <w:r w:rsidR="00BE6F08" w:rsidRPr="00022BBF">
        <w:rPr>
          <w:rFonts w:ascii="Arial" w:hAnsi="Arial" w:cs="Arial"/>
        </w:rPr>
        <w:t xml:space="preserve"> LS on </w:t>
      </w:r>
      <w:r w:rsidRPr="00DA35C4">
        <w:rPr>
          <w:rFonts w:ascii="Arial" w:hAnsi="Arial" w:cs="Arial"/>
        </w:rPr>
        <w:t>FS_VMR solutions review</w:t>
      </w:r>
      <w:r w:rsidR="00BE6F08" w:rsidRPr="00022BBF">
        <w:rPr>
          <w:rFonts w:ascii="Arial" w:hAnsi="Arial" w:cs="Arial"/>
        </w:rPr>
        <w:t>.</w:t>
      </w:r>
    </w:p>
    <w:p w14:paraId="5BF6E057" w14:textId="77777777" w:rsidR="00BE6F08" w:rsidRPr="00022BBF" w:rsidRDefault="00BE6F08">
      <w:pPr>
        <w:rPr>
          <w:rFonts w:ascii="Arial" w:hAnsi="Arial" w:cs="Arial"/>
        </w:rPr>
      </w:pPr>
    </w:p>
    <w:p w14:paraId="7E252592" w14:textId="01126BE0" w:rsidR="00FC1405" w:rsidRDefault="00DA35C4">
      <w:pPr>
        <w:rPr>
          <w:rFonts w:ascii="Arial" w:hAnsi="Arial" w:cs="Arial"/>
        </w:rPr>
      </w:pPr>
      <w:r>
        <w:rPr>
          <w:rFonts w:ascii="Arial" w:hAnsi="Arial" w:cs="Arial"/>
        </w:rPr>
        <w:t xml:space="preserve">RAN3 would like to provide the following feedback </w:t>
      </w:r>
      <w:r w:rsidR="00FC1405">
        <w:rPr>
          <w:rFonts w:ascii="Arial" w:hAnsi="Arial" w:cs="Arial"/>
        </w:rPr>
        <w:t>on the points raised by SA2:</w:t>
      </w:r>
    </w:p>
    <w:p w14:paraId="3AC12D38" w14:textId="1FF083B4" w:rsidR="006A12FF" w:rsidRDefault="006A12FF">
      <w:pPr>
        <w:rPr>
          <w:rFonts w:ascii="Arial" w:hAnsi="Arial" w:cs="Arial"/>
        </w:rPr>
      </w:pPr>
    </w:p>
    <w:p w14:paraId="429E346B" w14:textId="28635B34" w:rsidR="006A12FF" w:rsidRDefault="006A12FF" w:rsidP="006A12FF">
      <w:pPr>
        <w:pStyle w:val="B1"/>
      </w:pPr>
      <w:r>
        <w:t>-</w:t>
      </w:r>
      <w:r>
        <w:tab/>
      </w:r>
      <w:r w:rsidRPr="006A12FF">
        <w:rPr>
          <w:b/>
          <w:bCs/>
        </w:rPr>
        <w:t>SA2 point #1:</w:t>
      </w:r>
      <w:r>
        <w:t xml:space="preserve"> 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6AE9F0E" w14:textId="7418824C" w:rsidR="006A12FF" w:rsidRDefault="006A12FF" w:rsidP="00F173ED">
      <w:pPr>
        <w:pStyle w:val="B1"/>
        <w:ind w:left="1134"/>
      </w:pPr>
    </w:p>
    <w:p w14:paraId="4E4204C5" w14:textId="5E4507E4" w:rsidR="009C0793" w:rsidRDefault="006A12FF" w:rsidP="009C0793">
      <w:pPr>
        <w:pStyle w:val="B1"/>
        <w:ind w:left="1008" w:firstLine="0"/>
      </w:pPr>
      <w:r w:rsidRPr="006A12FF">
        <w:rPr>
          <w:b/>
          <w:bCs/>
        </w:rPr>
        <w:t>RAN3’s feedback on point #1:</w:t>
      </w:r>
      <w:r w:rsidR="00F173ED" w:rsidRPr="00F173ED">
        <w:t xml:space="preserve"> </w:t>
      </w:r>
      <w:bookmarkStart w:id="0" w:name="_Hlk115164681"/>
      <w:r w:rsidR="009C0793">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0FE0CFEC" w14:textId="77777777" w:rsidR="009C0793" w:rsidRDefault="009C0793" w:rsidP="009C0793">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3E953BE5" w14:textId="405F615D" w:rsidR="009C0793" w:rsidRPr="009C0793" w:rsidRDefault="009C0793" w:rsidP="009C0793">
      <w:pPr>
        <w:pStyle w:val="B1"/>
        <w:ind w:left="1008" w:firstLine="0"/>
      </w:pPr>
      <w:r w:rsidRPr="009C0793">
        <w:t>The roaming case is out-of-scope for Rel-18 mIAB. Therefore, OAM-configuration and OAM-connectivity for roaming mobile IAB-nodes have not been discussed.</w:t>
      </w:r>
    </w:p>
    <w:p w14:paraId="6B4B8FDF" w14:textId="6815300A" w:rsidR="006A12FF" w:rsidRPr="009C0793" w:rsidRDefault="00F92D7D" w:rsidP="009C0793">
      <w:pPr>
        <w:pStyle w:val="B1"/>
        <w:ind w:left="1440" w:firstLine="0"/>
        <w:rPr>
          <w:b/>
          <w:bCs/>
          <w:color w:val="00B050"/>
        </w:rPr>
      </w:pPr>
      <w:r w:rsidRPr="009C0793">
        <w:rPr>
          <w:b/>
          <w:bCs/>
          <w:color w:val="00B050"/>
        </w:rPr>
        <w:t xml:space="preserve"> </w:t>
      </w:r>
      <w:bookmarkEnd w:id="0"/>
    </w:p>
    <w:p w14:paraId="6A6E0F70" w14:textId="77777777" w:rsidR="006A12FF" w:rsidRDefault="006A12FF" w:rsidP="006A12FF">
      <w:pPr>
        <w:pStyle w:val="B1"/>
      </w:pPr>
    </w:p>
    <w:p w14:paraId="4A4DBC12" w14:textId="3CB44AA7" w:rsidR="006A12FF" w:rsidRDefault="006A12FF" w:rsidP="006A12FF">
      <w:pPr>
        <w:pStyle w:val="B1"/>
      </w:pPr>
      <w:r>
        <w:t>-</w:t>
      </w:r>
      <w:r>
        <w:tab/>
      </w:r>
      <w:r w:rsidRPr="006A12FF">
        <w:rPr>
          <w:b/>
          <w:bCs/>
        </w:rPr>
        <w:t>SA2 point #</w:t>
      </w:r>
      <w:r>
        <w:rPr>
          <w:b/>
          <w:bCs/>
        </w:rPr>
        <w:t>2</w:t>
      </w:r>
      <w:r w:rsidRPr="006A12FF">
        <w:rPr>
          <w:b/>
          <w:bCs/>
        </w:rPr>
        <w:t>:</w:t>
      </w:r>
      <w:r>
        <w:t xml:space="preserve"> With regard to Key Issue#3 (as defined in clause 5.3), SA2 would like to understand if the</w:t>
      </w:r>
      <w:r w:rsidRPr="00F3267D">
        <w:t xml:space="preserve"> </w:t>
      </w:r>
      <w:r>
        <w:t>MBSR, i.e. mobile-IAB node, would keep the same TAC, and Cell ID, when it changes serving donor gNB. SA2 has documented different solutions based on different options and needs RAN2 and RAN3 feedbacks for down selection.</w:t>
      </w:r>
    </w:p>
    <w:p w14:paraId="39741429" w14:textId="35364C53" w:rsidR="00F173ED" w:rsidRDefault="00F173ED" w:rsidP="006A12FF">
      <w:pPr>
        <w:pStyle w:val="B1"/>
      </w:pPr>
    </w:p>
    <w:p w14:paraId="2DB60207" w14:textId="77777777" w:rsidR="00190D11" w:rsidRDefault="00F173ED" w:rsidP="00190D11">
      <w:pPr>
        <w:pStyle w:val="B1"/>
        <w:ind w:left="1008" w:firstLine="0"/>
      </w:pPr>
      <w:r w:rsidRPr="006A12FF">
        <w:rPr>
          <w:b/>
          <w:bCs/>
        </w:rPr>
        <w:t>RAN3’s feedback on point #</w:t>
      </w:r>
      <w:r>
        <w:rPr>
          <w:b/>
          <w:bCs/>
        </w:rPr>
        <w:t>2</w:t>
      </w:r>
      <w:r w:rsidRPr="006A12FF">
        <w:rPr>
          <w:b/>
          <w:bCs/>
        </w:rPr>
        <w:t>:</w:t>
      </w:r>
      <w:r w:rsidR="00190D11" w:rsidRPr="00190D11">
        <w:rPr>
          <w:b/>
          <w:bCs/>
        </w:rPr>
        <w:t xml:space="preserve"> </w:t>
      </w:r>
      <w:r w:rsidR="00190D11" w:rsidRPr="00190D11">
        <w:t>RAN3 achieved the following agreement on NCGI:</w:t>
      </w:r>
    </w:p>
    <w:p w14:paraId="2FEA96B9" w14:textId="77777777" w:rsidR="00190D11" w:rsidRDefault="00190D11" w:rsidP="00190D11">
      <w:pPr>
        <w:pStyle w:val="B1"/>
        <w:ind w:left="1440" w:firstLine="0"/>
        <w:rPr>
          <w:b/>
          <w:bCs/>
          <w:color w:val="00B050"/>
        </w:rPr>
      </w:pPr>
      <w:r w:rsidRPr="00190D11">
        <w:rPr>
          <w:b/>
          <w:bCs/>
          <w:color w:val="00B050"/>
        </w:rPr>
        <w:t>The NCGI of the mobile IAB-DU cell is changed when the F1-terminating donor CU of the mobile IAB-DU is changed.</w:t>
      </w:r>
    </w:p>
    <w:p w14:paraId="462CB07D" w14:textId="283FBAB6" w:rsidR="00F173ED" w:rsidRPr="00190D11" w:rsidRDefault="00190D11" w:rsidP="00190D11">
      <w:pPr>
        <w:pStyle w:val="B1"/>
        <w:ind w:left="1008" w:firstLine="0"/>
      </w:pPr>
      <w:r w:rsidRPr="00190D11">
        <w:t>RAN3 is still discussing the handling of the mIAB-node’s TAC.</w:t>
      </w:r>
    </w:p>
    <w:p w14:paraId="2A513178" w14:textId="77777777" w:rsidR="006A12FF" w:rsidRPr="00190D11" w:rsidRDefault="006A12FF" w:rsidP="006A12FF">
      <w:pPr>
        <w:pStyle w:val="B1"/>
      </w:pPr>
    </w:p>
    <w:p w14:paraId="2334D828" w14:textId="36488A0B" w:rsidR="006A12FF" w:rsidRDefault="006A12FF" w:rsidP="006A12FF">
      <w:pPr>
        <w:pStyle w:val="B1"/>
      </w:pPr>
      <w:r>
        <w:t>-</w:t>
      </w:r>
      <w:r>
        <w:tab/>
      </w:r>
      <w:r w:rsidRPr="006A12FF">
        <w:rPr>
          <w:b/>
          <w:bCs/>
        </w:rPr>
        <w:t>SA2 point #</w:t>
      </w:r>
      <w:r>
        <w:rPr>
          <w:b/>
          <w:bCs/>
        </w:rPr>
        <w:t>3</w:t>
      </w:r>
      <w:r w:rsidRPr="006A12FF">
        <w:rPr>
          <w:b/>
          <w:bCs/>
        </w:rPr>
        <w:t>:</w:t>
      </w:r>
      <w:r>
        <w:t xml:space="preserve"> Also, with regard to Key Issue#3, SA2 would like to understand details of the inter-IAB donor gNB mobility procedure for a MBSR, e.g. the feasibility of supporting NGAP messages containing multiple UE information during the handover procedure. </w:t>
      </w:r>
    </w:p>
    <w:p w14:paraId="17E494BA" w14:textId="77777777" w:rsidR="00F173ED" w:rsidRDefault="00F173ED" w:rsidP="006A12FF">
      <w:pPr>
        <w:pStyle w:val="B1"/>
      </w:pPr>
    </w:p>
    <w:p w14:paraId="09353F88" w14:textId="77777777" w:rsidR="00AB55B3" w:rsidRDefault="00F173ED" w:rsidP="00AB55B3">
      <w:pPr>
        <w:pStyle w:val="B1"/>
        <w:ind w:left="1008" w:firstLine="0"/>
      </w:pPr>
      <w:r w:rsidRPr="006A12FF">
        <w:rPr>
          <w:b/>
          <w:bCs/>
        </w:rPr>
        <w:t>RAN3’s feedback on point #</w:t>
      </w:r>
      <w:r>
        <w:rPr>
          <w:b/>
          <w:bCs/>
        </w:rPr>
        <w:t>3</w:t>
      </w:r>
      <w:r w:rsidRPr="006A12FF">
        <w:rPr>
          <w:b/>
          <w:bCs/>
        </w:rPr>
        <w:t>:</w:t>
      </w:r>
      <w:r>
        <w:rPr>
          <w:b/>
          <w:bCs/>
        </w:rPr>
        <w:t xml:space="preserve"> </w:t>
      </w:r>
      <w:r w:rsidR="00AB55B3" w:rsidRPr="00AB55B3">
        <w:t xml:space="preserve">RAN3 achieved the following agreement: </w:t>
      </w:r>
    </w:p>
    <w:p w14:paraId="30CBFA47" w14:textId="41DACD1B" w:rsidR="00AB55B3" w:rsidRPr="00AB55B3" w:rsidRDefault="00AB55B3" w:rsidP="00AB55B3">
      <w:pPr>
        <w:pStyle w:val="B1"/>
        <w:ind w:left="1440" w:firstLine="0"/>
        <w:rPr>
          <w:b/>
          <w:bCs/>
          <w:color w:val="00B050"/>
        </w:rPr>
      </w:pPr>
      <w:r w:rsidRPr="00AB55B3">
        <w:rPr>
          <w:b/>
          <w:bCs/>
          <w:color w:val="00B050"/>
        </w:rPr>
        <w:t xml:space="preserve">After baseline procedures have been established, RAN3 to discuss the benefit and whether to support </w:t>
      </w:r>
      <w:proofErr w:type="spellStart"/>
      <w:r w:rsidRPr="00AB55B3">
        <w:rPr>
          <w:b/>
          <w:bCs/>
          <w:color w:val="00B050"/>
        </w:rPr>
        <w:t>signaling</w:t>
      </w:r>
      <w:proofErr w:type="spellEnd"/>
      <w:r w:rsidRPr="00AB55B3">
        <w:rPr>
          <w:b/>
          <w:bCs/>
          <w:color w:val="00B050"/>
        </w:rPr>
        <w:t xml:space="preserve"> of information related to multiple UE contexts in a single message for UE handover preparation, path switch, and context release procedures.</w:t>
      </w:r>
    </w:p>
    <w:p w14:paraId="164AC14C" w14:textId="1C4D4ECF" w:rsidR="00F173ED" w:rsidRDefault="00F173ED" w:rsidP="00F173ED">
      <w:pPr>
        <w:pStyle w:val="B1"/>
        <w:ind w:left="1134"/>
      </w:pPr>
    </w:p>
    <w:p w14:paraId="3FEA2FE1" w14:textId="77777777" w:rsidR="006A12FF" w:rsidRDefault="006A12FF" w:rsidP="006A12FF">
      <w:pPr>
        <w:pStyle w:val="B1"/>
      </w:pPr>
    </w:p>
    <w:p w14:paraId="3D55334C" w14:textId="032B2D23" w:rsidR="006A12FF" w:rsidRDefault="006A12FF" w:rsidP="006A12FF">
      <w:pPr>
        <w:pStyle w:val="B1"/>
      </w:pPr>
      <w:r>
        <w:t>-</w:t>
      </w:r>
      <w:r>
        <w:tab/>
      </w:r>
      <w:r w:rsidRPr="006A12FF">
        <w:rPr>
          <w:b/>
          <w:bCs/>
        </w:rPr>
        <w:t>SA2 point #</w:t>
      </w:r>
      <w:r>
        <w:rPr>
          <w:b/>
          <w:bCs/>
        </w:rPr>
        <w:t>4</w:t>
      </w:r>
      <w:r w:rsidRPr="006A12FF">
        <w:rPr>
          <w:b/>
          <w:bCs/>
        </w:rPr>
        <w:t>:</w:t>
      </w:r>
      <w:r>
        <w:t xml:space="preserve"> With regard to Key Issue#4 (as defined in clause 5.4), SA2 would like to understand if IAB-node integration procedure or inter-IAB-donor gNB mobility procedure, or both, can be used for MBSR to integrate into the VPLMN. </w:t>
      </w:r>
    </w:p>
    <w:p w14:paraId="2A6F3936" w14:textId="77777777" w:rsidR="00F173ED" w:rsidRDefault="00F173ED" w:rsidP="006A12FF">
      <w:pPr>
        <w:pStyle w:val="B1"/>
      </w:pPr>
    </w:p>
    <w:p w14:paraId="3EF70C37" w14:textId="16C7E4D7" w:rsidR="000F08FD" w:rsidRPr="000F08FD" w:rsidRDefault="00F173ED" w:rsidP="000F08FD">
      <w:pPr>
        <w:pStyle w:val="B1"/>
        <w:ind w:left="1008" w:firstLine="0"/>
      </w:pPr>
      <w:r w:rsidRPr="006A12FF">
        <w:rPr>
          <w:b/>
          <w:bCs/>
        </w:rPr>
        <w:t>RAN3’s feedback on point #</w:t>
      </w:r>
      <w:r>
        <w:rPr>
          <w:b/>
          <w:bCs/>
        </w:rPr>
        <w:t>4</w:t>
      </w:r>
      <w:r w:rsidRPr="006A12FF">
        <w:rPr>
          <w:b/>
          <w:bCs/>
        </w:rPr>
        <w:t>:</w:t>
      </w:r>
      <w:r>
        <w:rPr>
          <w:b/>
          <w:bCs/>
        </w:rPr>
        <w:t xml:space="preserve"> </w:t>
      </w:r>
      <w:r w:rsidR="000F08FD" w:rsidRPr="000F08FD">
        <w:t>IAB-node roaming was not discussed in Rel-16/17, and it is out-of-scope in Rel-18. RAN3 can therefore neither confirm nor deny whether the integration/inter-donor-migration procedures will work in a VPLMN.</w:t>
      </w:r>
    </w:p>
    <w:p w14:paraId="5A622B7C" w14:textId="269C6FDA" w:rsidR="00F173ED" w:rsidRDefault="00F173ED" w:rsidP="00F173ED">
      <w:pPr>
        <w:pStyle w:val="B1"/>
        <w:ind w:left="1134"/>
      </w:pPr>
    </w:p>
    <w:p w14:paraId="45549EF0" w14:textId="77777777" w:rsidR="00F173ED" w:rsidRDefault="00F173ED" w:rsidP="006A12FF">
      <w:pPr>
        <w:pStyle w:val="B1"/>
      </w:pPr>
    </w:p>
    <w:p w14:paraId="5CFD2B08" w14:textId="57157D33" w:rsidR="006A12FF" w:rsidRDefault="006A12FF" w:rsidP="006A12FF">
      <w:pPr>
        <w:pStyle w:val="B1"/>
      </w:pPr>
      <w:r>
        <w:t>-</w:t>
      </w:r>
      <w:r>
        <w:tab/>
      </w:r>
      <w:r w:rsidRPr="006A12FF">
        <w:rPr>
          <w:b/>
          <w:bCs/>
        </w:rPr>
        <w:t>SA2 point #</w:t>
      </w:r>
      <w:r>
        <w:rPr>
          <w:b/>
          <w:bCs/>
        </w:rPr>
        <w:t>5</w:t>
      </w:r>
      <w:r w:rsidRPr="006A12FF">
        <w:rPr>
          <w:b/>
          <w:bCs/>
        </w:rPr>
        <w:t>:</w:t>
      </w:r>
      <w:r>
        <w:t xml:space="preserve"> With regard to Key Issue#5 (as defined in clause 5.5), is it feasible for the IAB-donor gNB to identify that a UE is served by a MBSR (e.g. indicate TRP is mobile and the reference point is a MBSR/mobile).</w:t>
      </w:r>
    </w:p>
    <w:p w14:paraId="6E70EEEE" w14:textId="77777777" w:rsidR="00F173ED" w:rsidRDefault="00F173ED" w:rsidP="006A12FF">
      <w:pPr>
        <w:pStyle w:val="B1"/>
      </w:pPr>
    </w:p>
    <w:p w14:paraId="5F673EB9" w14:textId="77777777" w:rsidR="003B2569" w:rsidRDefault="003B2569" w:rsidP="003B2569">
      <w:pPr>
        <w:pStyle w:val="B1"/>
        <w:ind w:left="1008" w:firstLine="0"/>
      </w:pPr>
      <w:bookmarkStart w:id="1" w:name="_Hlk115193321"/>
      <w:r>
        <w:rPr>
          <w:b/>
          <w:bCs/>
        </w:rPr>
        <w:t>R</w:t>
      </w:r>
      <w:r w:rsidR="00F173ED" w:rsidRPr="003B2569">
        <w:rPr>
          <w:b/>
          <w:bCs/>
        </w:rPr>
        <w:t xml:space="preserve">AN3’s feedback on point #5: </w:t>
      </w:r>
      <w:r w:rsidRPr="003B2569">
        <w:t xml:space="preserve">RAN3 confirms that it is feasible for the IAB-donor-CU to identify that a UE is served by a mobile IAB-node. RAN3 </w:t>
      </w:r>
      <w:r>
        <w:t>achieved the following agreement</w:t>
      </w:r>
      <w:r w:rsidRPr="003B2569">
        <w:t xml:space="preserve">: </w:t>
      </w:r>
    </w:p>
    <w:p w14:paraId="7854980A" w14:textId="77777777" w:rsidR="003B2569" w:rsidRPr="00C513C9" w:rsidRDefault="003B2569" w:rsidP="003B2569">
      <w:pPr>
        <w:pStyle w:val="B1"/>
        <w:ind w:left="1440" w:firstLine="0"/>
        <w:rPr>
          <w:b/>
          <w:bCs/>
          <w:color w:val="00B050"/>
        </w:rPr>
      </w:pPr>
      <w:r w:rsidRPr="00C513C9">
        <w:rPr>
          <w:b/>
          <w:bCs/>
          <w:color w:val="00B050"/>
        </w:rPr>
        <w:t xml:space="preserve">The donor CU should know that the IAB node is “mobile”. </w:t>
      </w:r>
    </w:p>
    <w:p w14:paraId="1FAFD380" w14:textId="7D491918" w:rsidR="003B2569" w:rsidRPr="003B2569" w:rsidRDefault="003B2569" w:rsidP="003B2569">
      <w:pPr>
        <w:pStyle w:val="B1"/>
        <w:ind w:left="1008" w:firstLine="0"/>
        <w:rPr>
          <w:b/>
          <w:bCs/>
        </w:rPr>
      </w:pPr>
      <w:r w:rsidRPr="003B2569">
        <w:t>The example in the bracket related to TRP mobility is discussed in the reply to question 6.</w:t>
      </w:r>
    </w:p>
    <w:p w14:paraId="5BD1073B" w14:textId="3751A84C" w:rsidR="005E2045" w:rsidRDefault="005E2045" w:rsidP="00F173ED">
      <w:pPr>
        <w:pStyle w:val="B1"/>
        <w:ind w:left="1134"/>
        <w:rPr>
          <w:b/>
          <w:bCs/>
        </w:rPr>
      </w:pPr>
    </w:p>
    <w:bookmarkEnd w:id="1"/>
    <w:p w14:paraId="4FACF6E4" w14:textId="77777777" w:rsidR="005E2045" w:rsidRDefault="005E2045" w:rsidP="00F173ED">
      <w:pPr>
        <w:pStyle w:val="B1"/>
        <w:ind w:left="1134"/>
        <w:rPr>
          <w:b/>
          <w:bCs/>
        </w:rPr>
      </w:pPr>
    </w:p>
    <w:p w14:paraId="294F4CE3" w14:textId="2D225DF9" w:rsidR="006A12FF" w:rsidRDefault="006A12FF" w:rsidP="006A12FF">
      <w:pPr>
        <w:pStyle w:val="B1"/>
      </w:pPr>
      <w:r>
        <w:t>-</w:t>
      </w:r>
      <w:r>
        <w:tab/>
      </w:r>
      <w:r w:rsidRPr="006A12FF">
        <w:rPr>
          <w:b/>
          <w:bCs/>
        </w:rPr>
        <w:t>SA2 point #</w:t>
      </w:r>
      <w:r>
        <w:rPr>
          <w:b/>
          <w:bCs/>
        </w:rPr>
        <w:t>6</w:t>
      </w:r>
      <w:r w:rsidRPr="006A12FF">
        <w:rPr>
          <w:b/>
          <w:bCs/>
        </w:rPr>
        <w:t>:</w:t>
      </w:r>
      <w:r>
        <w:t xml:space="preserve"> Additionally, with regard to Key Issue#5, would </w:t>
      </w:r>
      <w:proofErr w:type="spellStart"/>
      <w:r>
        <w:t>NRPPa</w:t>
      </w:r>
      <w:proofErr w:type="spellEnd"/>
      <w:r>
        <w:t xml:space="preserve"> procedure for TRP location query be used by an LMF to obtain the MBSR location information? </w:t>
      </w:r>
    </w:p>
    <w:p w14:paraId="1EDC6CDC" w14:textId="0948F291" w:rsidR="00F173ED" w:rsidRDefault="00F173ED" w:rsidP="006A12FF">
      <w:pPr>
        <w:pStyle w:val="B1"/>
      </w:pPr>
    </w:p>
    <w:p w14:paraId="39B48508" w14:textId="0A84404A" w:rsidR="000F23D8" w:rsidRDefault="00F173ED" w:rsidP="00C513C9">
      <w:pPr>
        <w:pStyle w:val="B1"/>
        <w:ind w:left="1008" w:firstLine="0"/>
      </w:pPr>
      <w:r w:rsidRPr="006A12FF">
        <w:rPr>
          <w:b/>
          <w:bCs/>
        </w:rPr>
        <w:t>RAN3’s feedback on point #</w:t>
      </w:r>
      <w:r>
        <w:rPr>
          <w:b/>
          <w:bCs/>
        </w:rPr>
        <w:t>6</w:t>
      </w:r>
      <w:r w:rsidRPr="006A12FF">
        <w:rPr>
          <w:b/>
          <w:bCs/>
        </w:rPr>
        <w:t>:</w:t>
      </w:r>
      <w:r>
        <w:rPr>
          <w:b/>
          <w:bCs/>
        </w:rPr>
        <w:t xml:space="preserve"> </w:t>
      </w:r>
      <w:r w:rsidR="000F23D8" w:rsidRPr="000F23D8">
        <w:t xml:space="preserve">Multiple companies believe that enhancements to the </w:t>
      </w:r>
      <w:proofErr w:type="spellStart"/>
      <w:r w:rsidR="000F23D8" w:rsidRPr="000F23D8">
        <w:t>NRPPa</w:t>
      </w:r>
      <w:proofErr w:type="spellEnd"/>
      <w:r w:rsidR="000F23D8" w:rsidRPr="000F23D8">
        <w:t xml:space="preserve"> TRP Information Exchange procedure and to its F1AP </w:t>
      </w:r>
      <w:r w:rsidR="000F23D8" w:rsidRPr="000F23D8">
        <w:t>equivalent may</w:t>
      </w:r>
      <w:r w:rsidR="000F23D8" w:rsidRPr="000F23D8">
        <w:t xml:space="preserve"> be needed if used to indicate that the TRP is mobile and that the TRP’s reference point is a mobile IAB-node. It is also believed that </w:t>
      </w:r>
      <w:proofErr w:type="spellStart"/>
      <w:r w:rsidR="000F23D8" w:rsidRPr="000F23D8">
        <w:t>NRPPa</w:t>
      </w:r>
      <w:proofErr w:type="spellEnd"/>
      <w:r w:rsidR="000F23D8" w:rsidRPr="000F23D8">
        <w:t xml:space="preserve"> signalling could be used by the LMF to obtain the location of the mobile IAB-node’s TRP. A concrete solution requires more discussion in RAN3. RAN3 is presently not discussing whether and how the </w:t>
      </w:r>
      <w:proofErr w:type="spellStart"/>
      <w:r w:rsidR="000F23D8" w:rsidRPr="000F23D8">
        <w:t>NRPPa</w:t>
      </w:r>
      <w:proofErr w:type="spellEnd"/>
      <w:r w:rsidR="000F23D8" w:rsidRPr="000F23D8">
        <w:t>/F1AP procedures can be used for the positioning of UEs that are served by a mobile IAB-node.</w:t>
      </w:r>
    </w:p>
    <w:p w14:paraId="756C8221" w14:textId="77777777" w:rsidR="000F23D8" w:rsidRDefault="000F23D8" w:rsidP="006A12FF">
      <w:pPr>
        <w:pStyle w:val="B1"/>
      </w:pPr>
    </w:p>
    <w:p w14:paraId="624576C8" w14:textId="2433B11A" w:rsidR="006A12FF" w:rsidRDefault="006A12FF" w:rsidP="006A12FF">
      <w:pPr>
        <w:pStyle w:val="B1"/>
      </w:pPr>
      <w:r>
        <w:t>-</w:t>
      </w:r>
      <w:r>
        <w:tab/>
      </w:r>
      <w:r w:rsidRPr="006A12FF">
        <w:rPr>
          <w:b/>
          <w:bCs/>
        </w:rPr>
        <w:t>SA2 point #</w:t>
      </w:r>
      <w:r>
        <w:rPr>
          <w:b/>
          <w:bCs/>
        </w:rPr>
        <w:t>7</w:t>
      </w:r>
      <w:r w:rsidRPr="006A12FF">
        <w:rPr>
          <w:b/>
          <w:bCs/>
        </w:rPr>
        <w:t>:</w:t>
      </w:r>
      <w:r>
        <w:t xml:space="preserve"> With regard to Key Issue#6 (as defined in clause 5.6), is it feasible for the IAB-donor gNB to provide an additional ULI (</w:t>
      </w:r>
      <w:proofErr w:type="gramStart"/>
      <w:r>
        <w:t>e.g.</w:t>
      </w:r>
      <w:proofErr w:type="gramEnd"/>
      <w:r>
        <w:t xml:space="preserve"> TAI/NG CGI information) for the MBSR to the AMF of the UE served by the MBSR, over NGAP together with the existing ULI for the UE?</w:t>
      </w:r>
    </w:p>
    <w:p w14:paraId="6E1DF6DA" w14:textId="0E94032F" w:rsidR="00F173ED" w:rsidRDefault="00F173ED" w:rsidP="006A12FF">
      <w:pPr>
        <w:pStyle w:val="B1"/>
      </w:pPr>
    </w:p>
    <w:p w14:paraId="5345E709" w14:textId="7CA725B8" w:rsidR="00F173ED" w:rsidRPr="00795CCD" w:rsidRDefault="00F173ED" w:rsidP="00795CCD">
      <w:pPr>
        <w:pStyle w:val="B1"/>
        <w:ind w:left="1008" w:firstLine="0"/>
      </w:pPr>
      <w:r w:rsidRPr="006A12FF">
        <w:rPr>
          <w:b/>
          <w:bCs/>
        </w:rPr>
        <w:t>RAN3’s feedback on point #</w:t>
      </w:r>
      <w:r>
        <w:rPr>
          <w:b/>
          <w:bCs/>
        </w:rPr>
        <w:t>7</w:t>
      </w:r>
      <w:r w:rsidRPr="006A12FF">
        <w:rPr>
          <w:b/>
          <w:bCs/>
        </w:rPr>
        <w:t>:</w:t>
      </w:r>
      <w:r>
        <w:rPr>
          <w:b/>
          <w:bCs/>
        </w:rPr>
        <w:t xml:space="preserve"> </w:t>
      </w:r>
      <w:r w:rsidR="00795CCD" w:rsidRPr="00795CCD">
        <w:t xml:space="preserve">RAN3 believes that the feasibility of the </w:t>
      </w:r>
      <w:proofErr w:type="spellStart"/>
      <w:r w:rsidR="00795CCD" w:rsidRPr="00795CCD">
        <w:t>signaling</w:t>
      </w:r>
      <w:proofErr w:type="spellEnd"/>
      <w:r w:rsidR="00795CCD" w:rsidRPr="00795CCD">
        <w:t xml:space="preserve"> enhancement proposed by SA2 would need further assessment for the scenarios, where IAB-MT and IAB-DU are connected to different IAB-donors. RAN3 is currently discussing whether the TAC broadcast by the mobile IAB-cell should change with the IAB-node’s movement to reflect the IAB-node’s actual location. In this context, RAN3 will discuss if a </w:t>
      </w:r>
      <w:proofErr w:type="spellStart"/>
      <w:r w:rsidR="00795CCD" w:rsidRPr="00795CCD">
        <w:t>signaling</w:t>
      </w:r>
      <w:proofErr w:type="spellEnd"/>
      <w:r w:rsidR="00795CCD" w:rsidRPr="00795CCD">
        <w:t xml:space="preserve"> enhancement as proposed by SA2 would be needed. RAN3 will provide feedback as this discussion progresses.</w:t>
      </w:r>
    </w:p>
    <w:p w14:paraId="2D3BA29D" w14:textId="721F4CC5" w:rsidR="00463675" w:rsidRPr="00022BBF" w:rsidRDefault="00463675">
      <w:pPr>
        <w:rPr>
          <w:rFonts w:ascii="Arial" w:hAnsi="Arial" w:cs="Arial"/>
          <w:i/>
          <w:iCs/>
        </w:rPr>
      </w:pP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45F90ED0" w:rsidR="00463675" w:rsidRPr="00022BBF" w:rsidRDefault="00463675">
      <w:pPr>
        <w:spacing w:after="120"/>
        <w:ind w:left="1985" w:hanging="1985"/>
        <w:rPr>
          <w:rFonts w:ascii="Arial" w:hAnsi="Arial" w:cs="Arial"/>
          <w:b/>
        </w:rPr>
      </w:pPr>
      <w:r w:rsidRPr="00022BBF">
        <w:rPr>
          <w:rFonts w:ascii="Arial" w:hAnsi="Arial" w:cs="Arial"/>
          <w:b/>
        </w:rPr>
        <w:t xml:space="preserve">To </w:t>
      </w:r>
      <w:r w:rsidR="00CC476F">
        <w:rPr>
          <w:rFonts w:ascii="Arial" w:hAnsi="Arial" w:cs="Arial"/>
          <w:b/>
        </w:rPr>
        <w:t>SA2</w:t>
      </w:r>
      <w:r w:rsidR="00CC476F" w:rsidRPr="00022BBF">
        <w:rPr>
          <w:rFonts w:ascii="Arial" w:hAnsi="Arial" w:cs="Arial"/>
          <w:b/>
        </w:rPr>
        <w:t xml:space="preserve"> </w:t>
      </w:r>
      <w:r w:rsidRPr="00022BBF">
        <w:rPr>
          <w:rFonts w:ascii="Arial" w:hAnsi="Arial" w:cs="Arial"/>
          <w:b/>
        </w:rPr>
        <w:t>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4CDFB7B5" w:rsidR="00463675" w:rsidRPr="00022BBF" w:rsidRDefault="00463675">
      <w:pPr>
        <w:spacing w:after="120"/>
        <w:rPr>
          <w:rFonts w:ascii="Arial" w:hAnsi="Arial" w:cs="Arial"/>
          <w:b/>
        </w:rPr>
      </w:pPr>
      <w:r w:rsidRPr="00022BBF">
        <w:rPr>
          <w:rFonts w:ascii="Arial" w:hAnsi="Arial" w:cs="Arial"/>
          <w:b/>
        </w:rPr>
        <w:t xml:space="preserve">3. Date of Next </w:t>
      </w:r>
      <w:r w:rsidR="00CC476F">
        <w:rPr>
          <w:rFonts w:ascii="Arial" w:hAnsi="Arial" w:cs="Arial"/>
          <w:b/>
        </w:rPr>
        <w:t>RAN3</w:t>
      </w:r>
      <w:r w:rsidR="00CC476F" w:rsidRPr="00022BBF">
        <w:rPr>
          <w:rFonts w:ascii="Arial" w:hAnsi="Arial" w:cs="Arial"/>
          <w:b/>
        </w:rPr>
        <w:t xml:space="preserve"> </w:t>
      </w:r>
      <w:r w:rsidRPr="00022BBF">
        <w:rPr>
          <w:rFonts w:ascii="Arial" w:hAnsi="Arial" w:cs="Arial"/>
          <w:b/>
        </w:rPr>
        <w:t>Meetings:</w:t>
      </w:r>
    </w:p>
    <w:p w14:paraId="16ED6C37" w14:textId="72F19AFA" w:rsidR="004567C2" w:rsidRDefault="00FC1405" w:rsidP="0090582E">
      <w:pPr>
        <w:tabs>
          <w:tab w:val="left" w:pos="5103"/>
        </w:tabs>
        <w:spacing w:after="120"/>
        <w:ind w:left="2268" w:hanging="2268"/>
        <w:rPr>
          <w:rFonts w:ascii="Arial" w:hAnsi="Arial" w:cs="Arial"/>
          <w:bCs/>
        </w:rPr>
      </w:pPr>
      <w:r>
        <w:rPr>
          <w:rFonts w:ascii="Arial" w:hAnsi="Arial" w:cs="Arial"/>
          <w:bCs/>
        </w:rPr>
        <w:t>RAN3</w:t>
      </w:r>
      <w:r w:rsidR="004567C2">
        <w:rPr>
          <w:rFonts w:ascii="Arial" w:hAnsi="Arial" w:cs="Arial"/>
          <w:bCs/>
        </w:rPr>
        <w:t>#1</w:t>
      </w:r>
      <w:r>
        <w:rPr>
          <w:rFonts w:ascii="Arial" w:hAnsi="Arial" w:cs="Arial"/>
          <w:bCs/>
        </w:rPr>
        <w:t>18</w:t>
      </w:r>
      <w:r w:rsidR="004567C2">
        <w:rPr>
          <w:rFonts w:ascii="Arial" w:hAnsi="Arial" w:cs="Arial"/>
          <w:bCs/>
        </w:rPr>
        <w:tab/>
        <w:t>1</w:t>
      </w:r>
      <w:r>
        <w:rPr>
          <w:rFonts w:ascii="Arial" w:hAnsi="Arial" w:cs="Arial"/>
          <w:bCs/>
        </w:rPr>
        <w:t>4</w:t>
      </w:r>
      <w:r w:rsidR="004567C2">
        <w:rPr>
          <w:rFonts w:ascii="Arial" w:hAnsi="Arial" w:cs="Arial"/>
          <w:bCs/>
        </w:rPr>
        <w:t>th - 1</w:t>
      </w:r>
      <w:r>
        <w:rPr>
          <w:rFonts w:ascii="Arial" w:hAnsi="Arial" w:cs="Arial"/>
          <w:bCs/>
        </w:rPr>
        <w:t>8</w:t>
      </w:r>
      <w:r w:rsidR="004567C2">
        <w:rPr>
          <w:rFonts w:ascii="Arial" w:hAnsi="Arial" w:cs="Arial"/>
          <w:bCs/>
        </w:rPr>
        <w:t xml:space="preserve">th </w:t>
      </w:r>
      <w:r>
        <w:rPr>
          <w:rFonts w:ascii="Arial" w:hAnsi="Arial" w:cs="Arial"/>
          <w:bCs/>
        </w:rPr>
        <w:t>November</w:t>
      </w:r>
      <w:r w:rsidR="004567C2">
        <w:rPr>
          <w:rFonts w:ascii="Arial" w:hAnsi="Arial" w:cs="Arial"/>
          <w:bCs/>
        </w:rPr>
        <w:t xml:space="preserve"> 2022</w:t>
      </w:r>
      <w:r w:rsidR="004567C2">
        <w:rPr>
          <w:rFonts w:ascii="Arial" w:hAnsi="Arial" w:cs="Arial"/>
          <w:bCs/>
        </w:rPr>
        <w:tab/>
      </w:r>
      <w:r>
        <w:rPr>
          <w:rFonts w:ascii="Arial" w:hAnsi="Arial" w:cs="Arial"/>
          <w:bCs/>
        </w:rPr>
        <w:t>Toulouse, France</w:t>
      </w:r>
    </w:p>
    <w:p w14:paraId="1E675422" w14:textId="77F04AE9" w:rsidR="0090582E" w:rsidRPr="00F0649B" w:rsidRDefault="00FC1405">
      <w:pPr>
        <w:tabs>
          <w:tab w:val="left" w:pos="5103"/>
        </w:tabs>
        <w:spacing w:after="120"/>
        <w:ind w:left="2268" w:hanging="2268"/>
        <w:rPr>
          <w:rFonts w:ascii="Arial" w:hAnsi="Arial" w:cs="Arial"/>
          <w:bCs/>
        </w:rPr>
      </w:pPr>
      <w:r>
        <w:rPr>
          <w:rFonts w:ascii="Arial" w:hAnsi="Arial" w:cs="Arial"/>
          <w:bCs/>
        </w:rPr>
        <w:t>RAN3#119</w:t>
      </w:r>
      <w:r>
        <w:rPr>
          <w:rFonts w:ascii="Arial" w:hAnsi="Arial" w:cs="Arial"/>
          <w:bCs/>
        </w:rPr>
        <w:tab/>
      </w:r>
      <w:r w:rsidR="009206FE">
        <w:rPr>
          <w:rFonts w:ascii="Arial" w:hAnsi="Arial" w:cs="Arial"/>
          <w:bCs/>
        </w:rPr>
        <w:t>27</w:t>
      </w:r>
      <w:r w:rsidR="009206FE" w:rsidRPr="009206FE">
        <w:rPr>
          <w:rFonts w:ascii="Arial" w:hAnsi="Arial" w:cs="Arial"/>
          <w:bCs/>
          <w:vertAlign w:val="superscript"/>
        </w:rPr>
        <w:t>th</w:t>
      </w:r>
      <w:r w:rsidR="009206FE">
        <w:rPr>
          <w:rFonts w:ascii="Arial" w:hAnsi="Arial" w:cs="Arial"/>
          <w:bCs/>
        </w:rPr>
        <w:t xml:space="preserve"> February - 3rd March </w:t>
      </w:r>
      <w:r w:rsidR="00CC476F">
        <w:rPr>
          <w:rFonts w:ascii="Arial" w:hAnsi="Arial" w:cs="Arial"/>
          <w:bCs/>
        </w:rPr>
        <w:t>2023</w:t>
      </w:r>
      <w:r w:rsidR="009206FE">
        <w:rPr>
          <w:rFonts w:ascii="Arial" w:hAnsi="Arial" w:cs="Arial"/>
          <w:bCs/>
        </w:rPr>
        <w:tab/>
        <w:t>Athens, Greece</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E7BED" w14:textId="77777777" w:rsidR="00993208" w:rsidRDefault="00993208">
      <w:r>
        <w:separator/>
      </w:r>
    </w:p>
  </w:endnote>
  <w:endnote w:type="continuationSeparator" w:id="0">
    <w:p w14:paraId="1CE66F5A" w14:textId="77777777" w:rsidR="00993208" w:rsidRDefault="0099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977F1" w14:textId="77777777" w:rsidR="00993208" w:rsidRDefault="00993208">
      <w:r>
        <w:separator/>
      </w:r>
    </w:p>
  </w:footnote>
  <w:footnote w:type="continuationSeparator" w:id="0">
    <w:p w14:paraId="4298C83D" w14:textId="77777777" w:rsidR="00993208" w:rsidRDefault="00993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B1AA1"/>
    <w:rsid w:val="000F08FD"/>
    <w:rsid w:val="000F1C96"/>
    <w:rsid w:val="000F23D8"/>
    <w:rsid w:val="000F4E43"/>
    <w:rsid w:val="000F569F"/>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28B8"/>
    <w:rsid w:val="001A4AF7"/>
    <w:rsid w:val="001A78C6"/>
    <w:rsid w:val="001D4E4A"/>
    <w:rsid w:val="001E60FD"/>
    <w:rsid w:val="001F16A8"/>
    <w:rsid w:val="002244E2"/>
    <w:rsid w:val="00225E67"/>
    <w:rsid w:val="002349A7"/>
    <w:rsid w:val="00275FF1"/>
    <w:rsid w:val="00281CF6"/>
    <w:rsid w:val="002A326D"/>
    <w:rsid w:val="002D294D"/>
    <w:rsid w:val="002E5688"/>
    <w:rsid w:val="00324107"/>
    <w:rsid w:val="00326B06"/>
    <w:rsid w:val="00347947"/>
    <w:rsid w:val="003663C4"/>
    <w:rsid w:val="0036687A"/>
    <w:rsid w:val="00367678"/>
    <w:rsid w:val="003901E1"/>
    <w:rsid w:val="003B2569"/>
    <w:rsid w:val="003B5BF5"/>
    <w:rsid w:val="003C5E54"/>
    <w:rsid w:val="003E5249"/>
    <w:rsid w:val="00401229"/>
    <w:rsid w:val="00417B9F"/>
    <w:rsid w:val="004234FF"/>
    <w:rsid w:val="00445241"/>
    <w:rsid w:val="004567C2"/>
    <w:rsid w:val="00461008"/>
    <w:rsid w:val="00463675"/>
    <w:rsid w:val="00472D0A"/>
    <w:rsid w:val="004B1644"/>
    <w:rsid w:val="004B43FA"/>
    <w:rsid w:val="004B6D78"/>
    <w:rsid w:val="004C3F5A"/>
    <w:rsid w:val="004C4DCF"/>
    <w:rsid w:val="004F0F83"/>
    <w:rsid w:val="00507006"/>
    <w:rsid w:val="00571144"/>
    <w:rsid w:val="00584B08"/>
    <w:rsid w:val="00584CD5"/>
    <w:rsid w:val="00597523"/>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7032C5"/>
    <w:rsid w:val="007116E4"/>
    <w:rsid w:val="00726FC3"/>
    <w:rsid w:val="0073312A"/>
    <w:rsid w:val="00757F5F"/>
    <w:rsid w:val="007626BF"/>
    <w:rsid w:val="00763340"/>
    <w:rsid w:val="0077485D"/>
    <w:rsid w:val="00787CAC"/>
    <w:rsid w:val="007916FB"/>
    <w:rsid w:val="00795CCD"/>
    <w:rsid w:val="007969AD"/>
    <w:rsid w:val="007F55E8"/>
    <w:rsid w:val="007F7452"/>
    <w:rsid w:val="00860389"/>
    <w:rsid w:val="008753F1"/>
    <w:rsid w:val="0089666F"/>
    <w:rsid w:val="008A0E87"/>
    <w:rsid w:val="0090241A"/>
    <w:rsid w:val="0090582E"/>
    <w:rsid w:val="00912DB5"/>
    <w:rsid w:val="009206FE"/>
    <w:rsid w:val="00923E7C"/>
    <w:rsid w:val="00946E89"/>
    <w:rsid w:val="00957831"/>
    <w:rsid w:val="0098103D"/>
    <w:rsid w:val="00993208"/>
    <w:rsid w:val="00993231"/>
    <w:rsid w:val="00997336"/>
    <w:rsid w:val="009C0793"/>
    <w:rsid w:val="009D2D6A"/>
    <w:rsid w:val="009F12F6"/>
    <w:rsid w:val="009F3651"/>
    <w:rsid w:val="009F6E85"/>
    <w:rsid w:val="00A40DCE"/>
    <w:rsid w:val="00A64C23"/>
    <w:rsid w:val="00A7348D"/>
    <w:rsid w:val="00A93376"/>
    <w:rsid w:val="00A93EEA"/>
    <w:rsid w:val="00AB3307"/>
    <w:rsid w:val="00AB55B3"/>
    <w:rsid w:val="00AC079B"/>
    <w:rsid w:val="00AD51BB"/>
    <w:rsid w:val="00AE489C"/>
    <w:rsid w:val="00B144F4"/>
    <w:rsid w:val="00B740D7"/>
    <w:rsid w:val="00B9280F"/>
    <w:rsid w:val="00BD33FF"/>
    <w:rsid w:val="00BE6F08"/>
    <w:rsid w:val="00BF6B0C"/>
    <w:rsid w:val="00BF7EE2"/>
    <w:rsid w:val="00C165D1"/>
    <w:rsid w:val="00C20BCF"/>
    <w:rsid w:val="00C221AB"/>
    <w:rsid w:val="00C2412E"/>
    <w:rsid w:val="00C24776"/>
    <w:rsid w:val="00C31A0D"/>
    <w:rsid w:val="00C513C9"/>
    <w:rsid w:val="00C6700A"/>
    <w:rsid w:val="00CA2FB0"/>
    <w:rsid w:val="00CA77AA"/>
    <w:rsid w:val="00CC476F"/>
    <w:rsid w:val="00CE4B0C"/>
    <w:rsid w:val="00D11D73"/>
    <w:rsid w:val="00D45EF0"/>
    <w:rsid w:val="00D53018"/>
    <w:rsid w:val="00D676CD"/>
    <w:rsid w:val="00D72FA7"/>
    <w:rsid w:val="00D97334"/>
    <w:rsid w:val="00DA35C4"/>
    <w:rsid w:val="00DA5361"/>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PlainText">
    <w:name w:val="Plain Text"/>
    <w:basedOn w:val="Normal"/>
    <w:link w:val="PlainTextChar"/>
    <w:uiPriority w:val="99"/>
    <w:semiHidden/>
    <w:unhideWhenUsed/>
    <w:rsid w:val="000F23D8"/>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rsid w:val="000F23D8"/>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3023473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88113111">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4598049">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1</cp:lastModifiedBy>
  <cp:revision>2</cp:revision>
  <cp:lastPrinted>2002-04-23T07:10:00Z</cp:lastPrinted>
  <dcterms:created xsi:type="dcterms:W3CDTF">2022-10-17T11:30:00Z</dcterms:created>
  <dcterms:modified xsi:type="dcterms:W3CDTF">2022-10-17T11:30:00Z</dcterms:modified>
</cp:coreProperties>
</file>